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ackground w:color="D9F2D0" w:themeColor="accent6" w:themeTint="33"/>
  <w:body>
    <w:p w:rsidR="00452B38" w:rsidP="46618CEC" w:rsidRDefault="4735CAA6" w14:paraId="0845FD28" w14:textId="1D4DF5E4">
      <w:pPr>
        <w:pStyle w:val="Heading3"/>
        <w:spacing w:before="246" w:after="246" w:line="300" w:lineRule="auto"/>
        <w:rPr>
          <w:rFonts w:ascii="Garamond" w:hAnsi="Garamond" w:eastAsia="Segoe UI" w:cs="Segoe UI"/>
          <w:b w:val="1"/>
          <w:bCs w:val="1"/>
          <w:color w:val="124F1A" w:themeColor="accent3" w:themeShade="BF"/>
          <w:sz w:val="32"/>
          <w:szCs w:val="32"/>
        </w:rPr>
      </w:pPr>
      <w:r w:rsidRPr="2D468EBC" w:rsidR="4735CAA6">
        <w:rPr>
          <w:rFonts w:ascii="Garamond" w:hAnsi="Garamond" w:eastAsia="Segoe UI" w:cs="Segoe UI"/>
          <w:b w:val="1"/>
          <w:bCs w:val="1"/>
          <w:color w:val="124F1A" w:themeColor="accent3" w:themeTint="FF" w:themeShade="BF"/>
          <w:sz w:val="32"/>
          <w:szCs w:val="32"/>
        </w:rPr>
        <w:t>Policy Brief: Addressing Farmers</w:t>
      </w:r>
      <w:r w:rsidRPr="2D468EBC" w:rsidR="00754F9D">
        <w:rPr>
          <w:rFonts w:ascii="Garamond" w:hAnsi="Garamond" w:eastAsia="Segoe UI" w:cs="Segoe UI"/>
          <w:b w:val="1"/>
          <w:bCs w:val="1"/>
          <w:color w:val="124F1A" w:themeColor="accent3" w:themeTint="FF" w:themeShade="BF"/>
          <w:sz w:val="32"/>
          <w:szCs w:val="32"/>
        </w:rPr>
        <w:t>’</w:t>
      </w:r>
      <w:r w:rsidRPr="2D468EBC" w:rsidR="4735CAA6">
        <w:rPr>
          <w:rFonts w:ascii="Garamond" w:hAnsi="Garamond" w:eastAsia="Segoe UI" w:cs="Segoe UI"/>
          <w:b w:val="1"/>
          <w:bCs w:val="1"/>
          <w:color w:val="124F1A" w:themeColor="accent3" w:themeTint="FF" w:themeShade="BF"/>
          <w:sz w:val="32"/>
          <w:szCs w:val="32"/>
        </w:rPr>
        <w:t xml:space="preserve"> Financial Distress in England</w:t>
      </w:r>
    </w:p>
    <w:p w:rsidRPr="00854918" w:rsidR="00854918" w:rsidP="23127FBD" w:rsidRDefault="001A7A5A" w14:paraId="22C89605" w14:textId="0D5969C4">
      <w:pPr>
        <w:pStyle w:val="Heading4"/>
        <w:spacing w:before="279" w:after="279" w:line="300" w:lineRule="auto"/>
        <w:rPr>
          <w:rFonts w:ascii="Garamond" w:hAnsi="Garamond" w:eastAsia="Segoe UI" w:cs="Segoe UI"/>
          <w:b/>
          <w:bCs/>
          <w:i w:val="0"/>
          <w:iCs w:val="0"/>
          <w:color w:val="196B24" w:themeColor="accent3"/>
          <w:sz w:val="32"/>
          <w:szCs w:val="32"/>
        </w:rPr>
      </w:pPr>
      <w:r w:rsidRPr="005A64A1">
        <w:rPr>
          <w:rFonts w:ascii="Garamond" w:hAnsi="Garamond" w:eastAsia="Segoe UI" w:cs="Segoe UI"/>
          <w:b/>
          <w:bCs/>
          <w:i w:val="0"/>
          <w:iCs w:val="0"/>
          <w:noProof/>
          <w:color w:val="124F1A" w:themeColor="accent3" w:themeShade="BF"/>
          <w:sz w:val="28"/>
          <w:szCs w:val="28"/>
        </w:rPr>
        <mc:AlternateContent>
          <mc:Choice Requires="wps">
            <w:drawing>
              <wp:anchor distT="45720" distB="45720" distL="114300" distR="114300" simplePos="0" relativeHeight="251658241" behindDoc="0" locked="0" layoutInCell="1" allowOverlap="1" wp14:anchorId="07782AF1" wp14:editId="0F0A037B">
                <wp:simplePos x="0" y="0"/>
                <wp:positionH relativeFrom="column">
                  <wp:posOffset>3260090</wp:posOffset>
                </wp:positionH>
                <wp:positionV relativeFrom="paragraph">
                  <wp:posOffset>447040</wp:posOffset>
                </wp:positionV>
                <wp:extent cx="2780030" cy="2383155"/>
                <wp:effectExtent l="0" t="0" r="1270" b="0"/>
                <wp:wrapSquare wrapText="bothSides"/>
                <wp:docPr id="2058369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2383155"/>
                        </a:xfrm>
                        <a:prstGeom prst="rect">
                          <a:avLst/>
                        </a:prstGeom>
                        <a:solidFill>
                          <a:schemeClr val="accent6">
                            <a:lumMod val="20000"/>
                            <a:lumOff val="80000"/>
                          </a:schemeClr>
                        </a:solidFill>
                        <a:ln w="9525">
                          <a:noFill/>
                          <a:miter lim="800000"/>
                          <a:headEnd/>
                          <a:tailEnd/>
                        </a:ln>
                      </wps:spPr>
                      <wps:txbx>
                        <w:txbxContent>
                          <w:p w:rsidRPr="005A64A1" w:rsidR="000F2ECC" w:rsidP="000F2ECC" w:rsidRDefault="001D3D84" w14:paraId="16DB14DE" w14:textId="23864B20">
                            <w:pPr>
                              <w:pStyle w:val="ListParagraph"/>
                              <w:numPr>
                                <w:ilvl w:val="0"/>
                                <w:numId w:val="4"/>
                              </w:numPr>
                              <w:jc w:val="both"/>
                              <w:rPr>
                                <w:rFonts w:ascii="Garamond" w:hAnsi="Garamond"/>
                              </w:rPr>
                            </w:pPr>
                            <w:r w:rsidRPr="005A64A1">
                              <w:rPr>
                                <w:rFonts w:ascii="Garamond" w:hAnsi="Garamond"/>
                              </w:rPr>
                              <w:t xml:space="preserve">Doctrinal </w:t>
                            </w:r>
                            <w:r w:rsidR="00F2322C">
                              <w:rPr>
                                <w:rFonts w:ascii="Garamond" w:hAnsi="Garamond"/>
                              </w:rPr>
                              <w:t>r</w:t>
                            </w:r>
                            <w:r w:rsidRPr="005A64A1">
                              <w:rPr>
                                <w:rFonts w:ascii="Garamond" w:hAnsi="Garamond"/>
                              </w:rPr>
                              <w:t>esearch</w:t>
                            </w:r>
                            <w:r w:rsidRPr="005A64A1" w:rsidR="000F2ECC">
                              <w:rPr>
                                <w:rFonts w:ascii="Garamond" w:hAnsi="Garamond"/>
                              </w:rPr>
                              <w:t>:</w:t>
                            </w:r>
                            <w:r w:rsidRPr="005A64A1" w:rsidR="000F2ECC">
                              <w:t xml:space="preserve"> </w:t>
                            </w:r>
                            <w:r w:rsidRPr="005A64A1" w:rsidR="000F2ECC">
                              <w:rPr>
                                <w:rFonts w:ascii="Garamond" w:hAnsi="Garamond"/>
                              </w:rPr>
                              <w:t>explore the limited legal scholarship and case law</w:t>
                            </w:r>
                            <w:r w:rsidRPr="005A64A1" w:rsidR="005A64A1">
                              <w:rPr>
                                <w:rFonts w:ascii="Garamond" w:hAnsi="Garamond"/>
                              </w:rPr>
                              <w:t>.</w:t>
                            </w:r>
                          </w:p>
                          <w:p w:rsidRPr="005A64A1" w:rsidR="006C6D68" w:rsidP="000F2ECC" w:rsidRDefault="001D3D84" w14:paraId="560EFBA3" w14:textId="4490F6F0">
                            <w:pPr>
                              <w:pStyle w:val="ListParagraph"/>
                              <w:numPr>
                                <w:ilvl w:val="0"/>
                                <w:numId w:val="4"/>
                              </w:numPr>
                              <w:jc w:val="both"/>
                              <w:rPr>
                                <w:rFonts w:ascii="Garamond" w:hAnsi="Garamond"/>
                              </w:rPr>
                            </w:pPr>
                            <w:r w:rsidRPr="005A64A1">
                              <w:rPr>
                                <w:rFonts w:ascii="Garamond" w:hAnsi="Garamond"/>
                              </w:rPr>
                              <w:t xml:space="preserve">Empirical </w:t>
                            </w:r>
                            <w:r w:rsidR="00F2322C">
                              <w:rPr>
                                <w:rFonts w:ascii="Garamond" w:hAnsi="Garamond"/>
                              </w:rPr>
                              <w:t>r</w:t>
                            </w:r>
                            <w:r w:rsidRPr="005A64A1">
                              <w:rPr>
                                <w:rFonts w:ascii="Garamond" w:hAnsi="Garamond"/>
                              </w:rPr>
                              <w:t>esearch:</w:t>
                            </w:r>
                            <w:r w:rsidRPr="005A64A1" w:rsidR="00801038">
                              <w:rPr>
                                <w:rFonts w:ascii="Garamond" w:hAnsi="Garamond"/>
                              </w:rPr>
                              <w:t xml:space="preserve"> </w:t>
                            </w:r>
                            <w:r w:rsidRPr="005A64A1" w:rsidR="005E725C">
                              <w:rPr>
                                <w:rFonts w:ascii="Garamond" w:hAnsi="Garamond"/>
                              </w:rPr>
                              <w:t>Semi-</w:t>
                            </w:r>
                            <w:r w:rsidR="001A7A5A">
                              <w:rPr>
                                <w:rFonts w:ascii="Garamond" w:hAnsi="Garamond"/>
                              </w:rPr>
                              <w:t>s</w:t>
                            </w:r>
                            <w:r w:rsidRPr="005A64A1" w:rsidR="005E725C">
                              <w:rPr>
                                <w:rFonts w:ascii="Garamond" w:hAnsi="Garamond"/>
                              </w:rPr>
                              <w:t>tructured interviews with e</w:t>
                            </w:r>
                            <w:r w:rsidRPr="005A64A1">
                              <w:rPr>
                                <w:rFonts w:ascii="Garamond" w:hAnsi="Garamond"/>
                              </w:rPr>
                              <w:t>ight professionals including insolvency practitioners, agricultural consultants, solicitors, and bank recovery managers.</w:t>
                            </w:r>
                          </w:p>
                          <w:p w:rsidRPr="005A64A1" w:rsidR="001D3D84" w:rsidP="000F2ECC" w:rsidRDefault="006C6D68" w14:paraId="74CD980E" w14:textId="393D0DAD">
                            <w:pPr>
                              <w:pStyle w:val="ListParagraph"/>
                              <w:numPr>
                                <w:ilvl w:val="0"/>
                                <w:numId w:val="4"/>
                              </w:numPr>
                              <w:jc w:val="both"/>
                              <w:rPr>
                                <w:rFonts w:ascii="Garamond" w:hAnsi="Garamond"/>
                              </w:rPr>
                            </w:pPr>
                            <w:r w:rsidRPr="005A64A1">
                              <w:rPr>
                                <w:rFonts w:ascii="Garamond" w:hAnsi="Garamond"/>
                              </w:rPr>
                              <w:t>Comparative research</w:t>
                            </w:r>
                            <w:r w:rsidRPr="005A64A1" w:rsidR="001D3D84">
                              <w:rPr>
                                <w:rFonts w:ascii="Garamond" w:hAnsi="Garamond"/>
                              </w:rPr>
                              <w:t>:</w:t>
                            </w:r>
                            <w:r w:rsidRPr="005A64A1">
                              <w:rPr>
                                <w:rFonts w:ascii="Garamond" w:hAnsi="Garamond"/>
                              </w:rPr>
                              <w:t xml:space="preserve"> </w:t>
                            </w:r>
                            <w:r w:rsidRPr="005A64A1" w:rsidR="001D3D84">
                              <w:rPr>
                                <w:rFonts w:ascii="Garamond" w:hAnsi="Garamond"/>
                              </w:rPr>
                              <w:t>United States and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id="_x0000_t202" coordsize="21600,21600" o:spt="202" path="m,l,21600r21600,l21600,xe" w14:anchorId="07782AF1">
                <v:stroke joinstyle="miter"/>
                <v:path gradientshapeok="t" o:connecttype="rect"/>
              </v:shapetype>
              <v:shape id="Text Box 2" style="position:absolute;margin-left:256.7pt;margin-top:35.2pt;width:218.9pt;height:187.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d9f2d0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">
                <v:textbox>
                  <w:txbxContent>
                    <w:p w:rsidRPr="005A64A1" w:rsidR="000F2ECC" w:rsidP="000F2ECC" w:rsidRDefault="001D3D84" w14:paraId="16DB14DE" w14:textId="23864B20">
                      <w:pPr>
                        <w:pStyle w:val="ListParagraph"/>
                        <w:numPr>
                          <w:ilvl w:val="0"/>
                          <w:numId w:val="4"/>
                        </w:numPr>
                        <w:jc w:val="both"/>
                        <w:rPr>
                          <w:rFonts w:ascii="Garamond" w:hAnsi="Garamond"/>
                        </w:rPr>
                      </w:pPr>
                      <w:r w:rsidRPr="005A64A1">
                        <w:rPr>
                          <w:rFonts w:ascii="Garamond" w:hAnsi="Garamond"/>
                        </w:rPr>
                        <w:t xml:space="preserve">Doctrinal </w:t>
                      </w:r>
                      <w:r w:rsidR="00F2322C">
                        <w:rPr>
                          <w:rFonts w:ascii="Garamond" w:hAnsi="Garamond"/>
                        </w:rPr>
                        <w:t>r</w:t>
                      </w:r>
                      <w:r w:rsidRPr="005A64A1">
                        <w:rPr>
                          <w:rFonts w:ascii="Garamond" w:hAnsi="Garamond"/>
                        </w:rPr>
                        <w:t>esearch</w:t>
                      </w:r>
                      <w:r w:rsidRPr="005A64A1" w:rsidR="000F2ECC">
                        <w:rPr>
                          <w:rFonts w:ascii="Garamond" w:hAnsi="Garamond"/>
                        </w:rPr>
                        <w:t>:</w:t>
                      </w:r>
                      <w:r w:rsidRPr="005A64A1" w:rsidR="000F2ECC">
                        <w:t xml:space="preserve"> </w:t>
                      </w:r>
                      <w:r w:rsidRPr="005A64A1" w:rsidR="000F2ECC">
                        <w:rPr>
                          <w:rFonts w:ascii="Garamond" w:hAnsi="Garamond"/>
                        </w:rPr>
                        <w:t>explore the limited legal scholarship and case law</w:t>
                      </w:r>
                      <w:r w:rsidRPr="005A64A1" w:rsidR="005A64A1">
                        <w:rPr>
                          <w:rFonts w:ascii="Garamond" w:hAnsi="Garamond"/>
                        </w:rPr>
                        <w:t>.</w:t>
                      </w:r>
                    </w:p>
                    <w:p w:rsidRPr="005A64A1" w:rsidR="006C6D68" w:rsidP="000F2ECC" w:rsidRDefault="001D3D84" w14:paraId="560EFBA3" w14:textId="4490F6F0">
                      <w:pPr>
                        <w:pStyle w:val="ListParagraph"/>
                        <w:numPr>
                          <w:ilvl w:val="0"/>
                          <w:numId w:val="4"/>
                        </w:numPr>
                        <w:jc w:val="both"/>
                        <w:rPr>
                          <w:rFonts w:ascii="Garamond" w:hAnsi="Garamond"/>
                        </w:rPr>
                      </w:pPr>
                      <w:r w:rsidRPr="005A64A1">
                        <w:rPr>
                          <w:rFonts w:ascii="Garamond" w:hAnsi="Garamond"/>
                        </w:rPr>
                        <w:t xml:space="preserve">Empirical </w:t>
                      </w:r>
                      <w:r w:rsidR="00F2322C">
                        <w:rPr>
                          <w:rFonts w:ascii="Garamond" w:hAnsi="Garamond"/>
                        </w:rPr>
                        <w:t>r</w:t>
                      </w:r>
                      <w:r w:rsidRPr="005A64A1">
                        <w:rPr>
                          <w:rFonts w:ascii="Garamond" w:hAnsi="Garamond"/>
                        </w:rPr>
                        <w:t>esearch:</w:t>
                      </w:r>
                      <w:r w:rsidRPr="005A64A1" w:rsidR="00801038">
                        <w:rPr>
                          <w:rFonts w:ascii="Garamond" w:hAnsi="Garamond"/>
                        </w:rPr>
                        <w:t xml:space="preserve"> </w:t>
                      </w:r>
                      <w:r w:rsidRPr="005A64A1" w:rsidR="005E725C">
                        <w:rPr>
                          <w:rFonts w:ascii="Garamond" w:hAnsi="Garamond"/>
                        </w:rPr>
                        <w:t>Semi-</w:t>
                      </w:r>
                      <w:r w:rsidR="001A7A5A">
                        <w:rPr>
                          <w:rFonts w:ascii="Garamond" w:hAnsi="Garamond"/>
                        </w:rPr>
                        <w:t>s</w:t>
                      </w:r>
                      <w:r w:rsidRPr="005A64A1" w:rsidR="005E725C">
                        <w:rPr>
                          <w:rFonts w:ascii="Garamond" w:hAnsi="Garamond"/>
                        </w:rPr>
                        <w:t>tructured interviews with e</w:t>
                      </w:r>
                      <w:r w:rsidRPr="005A64A1">
                        <w:rPr>
                          <w:rFonts w:ascii="Garamond" w:hAnsi="Garamond"/>
                        </w:rPr>
                        <w:t>ight professionals including insolvency practitioners, agricultural consultants, solicitors, and bank recovery managers.</w:t>
                      </w:r>
                    </w:p>
                    <w:p w:rsidRPr="005A64A1" w:rsidR="001D3D84" w:rsidP="000F2ECC" w:rsidRDefault="006C6D68" w14:paraId="74CD980E" w14:textId="393D0DAD">
                      <w:pPr>
                        <w:pStyle w:val="ListParagraph"/>
                        <w:numPr>
                          <w:ilvl w:val="0"/>
                          <w:numId w:val="4"/>
                        </w:numPr>
                        <w:jc w:val="both"/>
                        <w:rPr>
                          <w:rFonts w:ascii="Garamond" w:hAnsi="Garamond"/>
                        </w:rPr>
                      </w:pPr>
                      <w:r w:rsidRPr="005A64A1">
                        <w:rPr>
                          <w:rFonts w:ascii="Garamond" w:hAnsi="Garamond"/>
                        </w:rPr>
                        <w:t>Comparative research</w:t>
                      </w:r>
                      <w:r w:rsidRPr="005A64A1" w:rsidR="001D3D84">
                        <w:rPr>
                          <w:rFonts w:ascii="Garamond" w:hAnsi="Garamond"/>
                        </w:rPr>
                        <w:t>:</w:t>
                      </w:r>
                      <w:r w:rsidRPr="005A64A1">
                        <w:rPr>
                          <w:rFonts w:ascii="Garamond" w:hAnsi="Garamond"/>
                        </w:rPr>
                        <w:t xml:space="preserve"> </w:t>
                      </w:r>
                      <w:r w:rsidRPr="005A64A1" w:rsidR="001D3D84">
                        <w:rPr>
                          <w:rFonts w:ascii="Garamond" w:hAnsi="Garamond"/>
                        </w:rPr>
                        <w:t>United States and Australia.</w:t>
                      </w:r>
                    </w:p>
                  </w:txbxContent>
                </v:textbox>
                <w10:wrap type="square"/>
              </v:shape>
            </w:pict>
          </mc:Fallback>
        </mc:AlternateContent>
      </w:r>
      <w:r w:rsidRPr="005A64A1">
        <w:rPr>
          <w:noProof/>
          <w:sz w:val="28"/>
          <w:szCs w:val="28"/>
        </w:rPr>
        <mc:AlternateContent>
          <mc:Choice Requires="wps">
            <w:drawing>
              <wp:anchor distT="45720" distB="45720" distL="114300" distR="114300" simplePos="0" relativeHeight="251658240" behindDoc="0" locked="0" layoutInCell="1" allowOverlap="1" wp14:anchorId="5A05B983" wp14:editId="7CCD22BA">
                <wp:simplePos x="0" y="0"/>
                <wp:positionH relativeFrom="column">
                  <wp:posOffset>-122714</wp:posOffset>
                </wp:positionH>
                <wp:positionV relativeFrom="paragraph">
                  <wp:posOffset>335541</wp:posOffset>
                </wp:positionV>
                <wp:extent cx="2927985" cy="2282825"/>
                <wp:effectExtent l="0" t="0" r="571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2282825"/>
                        </a:xfrm>
                        <a:prstGeom prst="rect">
                          <a:avLst/>
                        </a:prstGeom>
                        <a:solidFill>
                          <a:schemeClr val="accent6">
                            <a:lumMod val="20000"/>
                            <a:lumOff val="80000"/>
                          </a:schemeClr>
                        </a:solidFill>
                        <a:ln w="9525">
                          <a:noFill/>
                          <a:miter lim="800000"/>
                          <a:headEnd/>
                          <a:tailEnd/>
                        </a:ln>
                      </wps:spPr>
                      <wps:txbx>
                        <w:txbxContent>
                          <w:p w:rsidRPr="005A64A1" w:rsidR="006C38B5" w:rsidP="006C38B5" w:rsidRDefault="006C38B5" w14:paraId="41D54ACC" w14:textId="77777777">
                            <w:pPr>
                              <w:spacing w:before="210" w:after="210" w:line="300" w:lineRule="auto"/>
                              <w:jc w:val="both"/>
                              <w:rPr>
                                <w:rFonts w:ascii="Garamond" w:hAnsi="Garamond"/>
                              </w:rPr>
                            </w:pPr>
                            <w:r w:rsidRPr="005A64A1">
                              <w:rPr>
                                <w:rFonts w:ascii="Garamond" w:hAnsi="Garamond" w:eastAsia="Segoe UI" w:cs="Segoe UI"/>
                              </w:rPr>
                              <w:t>Farmers in England face significant financial exposure due to economic, atmospheric, and biological risks. Unlike other countries, such as the United States and Australia, England does not have specific insolvency procedures tailored to the agricultural sector. This lack of specialized support exacerbates the financial challenges faced by farmers, who are crucial to the food supply chain and rural economy.</w:t>
                            </w:r>
                          </w:p>
                          <w:p w:rsidRPr="005A64A1" w:rsidR="006C38B5" w:rsidRDefault="006C38B5" w14:paraId="1F08BB85" w14:textId="42A4A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id="_x0000_s1027" style="position:absolute;margin-left:-9.65pt;margin-top:26.4pt;width:230.55pt;height:17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9f2d0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" w14:anchorId="5A05B983">
                <v:textbox>
                  <w:txbxContent>
                    <w:p w:rsidRPr="005A64A1" w:rsidR="006C38B5" w:rsidP="006C38B5" w:rsidRDefault="006C38B5" w14:paraId="41D54ACC" w14:textId="77777777">
                      <w:pPr>
                        <w:spacing w:before="210" w:after="210" w:line="300" w:lineRule="auto"/>
                        <w:jc w:val="both"/>
                        <w:rPr>
                          <w:rFonts w:ascii="Garamond" w:hAnsi="Garamond"/>
                        </w:rPr>
                      </w:pPr>
                      <w:r w:rsidRPr="005A64A1">
                        <w:rPr>
                          <w:rFonts w:ascii="Garamond" w:hAnsi="Garamond" w:eastAsia="Segoe UI" w:cs="Segoe UI"/>
                        </w:rPr>
                        <w:t>Farmers in England face significant financial exposure due to economic, atmospheric, and biological risks. Unlike other countries, such as the United States and Australia, England does not have specific insolvency procedures tailored to the agricultural sector. This lack of specialized support exacerbates the financial challenges faced by farmers, who are crucial to the food supply chain and rural economy.</w:t>
                      </w:r>
                    </w:p>
                    <w:p w:rsidRPr="005A64A1" w:rsidR="006C38B5" w:rsidRDefault="006C38B5" w14:paraId="1F08BB85" w14:textId="42A4A831"/>
                  </w:txbxContent>
                </v:textbox>
                <w10:wrap type="square"/>
              </v:shape>
            </w:pict>
          </mc:Fallback>
        </mc:AlternateContent>
      </w:r>
      <w:r w:rsidRPr="23127FBD" w:rsidR="26B60ED1">
        <w:rPr>
          <w:rFonts w:ascii="Garamond" w:hAnsi="Garamond" w:eastAsia="Segoe UI" w:cs="Segoe UI"/>
          <w:b/>
          <w:bCs/>
          <w:i w:val="0"/>
          <w:iCs w:val="0"/>
          <w:color w:val="124F1A" w:themeColor="accent3" w:themeShade="BF"/>
          <w:sz w:val="28"/>
          <w:szCs w:val="28"/>
        </w:rPr>
        <w:t>Background</w:t>
      </w:r>
      <w:r w:rsidR="00854918">
        <w:tab/>
      </w:r>
      <w:r w:rsidR="00854918">
        <w:tab/>
      </w:r>
      <w:r w:rsidR="00854918">
        <w:tab/>
      </w:r>
      <w:r w:rsidR="00854918">
        <w:tab/>
      </w:r>
      <w:r w:rsidR="00854918">
        <w:tab/>
      </w:r>
      <w:r w:rsidR="00854918">
        <w:tab/>
      </w:r>
      <w:r w:rsidRPr="23127FBD" w:rsidR="26B60ED1">
        <w:rPr>
          <w:rFonts w:ascii="Garamond" w:hAnsi="Garamond" w:eastAsia="Segoe UI" w:cs="Segoe UI"/>
          <w:b/>
          <w:bCs/>
          <w:i w:val="0"/>
          <w:iCs w:val="0"/>
          <w:color w:val="124F1A" w:themeColor="accent3" w:themeShade="BF"/>
          <w:sz w:val="28"/>
          <w:szCs w:val="28"/>
        </w:rPr>
        <w:t>Research Methodology</w:t>
      </w:r>
    </w:p>
    <w:p w:rsidRPr="005A64A1" w:rsidR="00452B38" w:rsidP="46618CEC" w:rsidRDefault="4EB1A022" w14:paraId="2E6EE14B" w14:textId="35478FE4">
      <w:pPr>
        <w:pStyle w:val="Heading4"/>
        <w:spacing w:before="279" w:after="279" w:line="300" w:lineRule="auto"/>
        <w:rPr>
          <w:rFonts w:ascii="Garamond" w:hAnsi="Garamond"/>
          <w:color w:val="124F1A" w:themeColor="accent3" w:themeShade="BF"/>
          <w:sz w:val="28"/>
          <w:szCs w:val="28"/>
        </w:rPr>
      </w:pPr>
      <w:r w:rsidRPr="005A64A1">
        <w:rPr>
          <w:rFonts w:ascii="Garamond" w:hAnsi="Garamond" w:eastAsia="Segoe UI" w:cs="Segoe UI"/>
          <w:b/>
          <w:bCs/>
          <w:i w:val="0"/>
          <w:iCs w:val="0"/>
          <w:color w:val="124F1A" w:themeColor="accent3" w:themeShade="BF"/>
          <w:sz w:val="28"/>
          <w:szCs w:val="28"/>
        </w:rPr>
        <w:t>Research Findings</w:t>
      </w:r>
    </w:p>
    <w:p w:rsidRPr="005A64A1" w:rsidR="00452B38" w:rsidP="364115E8" w:rsidRDefault="4EB1A022" w14:paraId="3C22350E" w14:textId="74441760">
      <w:pPr>
        <w:pStyle w:val="ListParagraph"/>
        <w:numPr>
          <w:ilvl w:val="0"/>
          <w:numId w:val="2"/>
        </w:numPr>
        <w:spacing w:after="0" w:line="300" w:lineRule="auto"/>
        <w:jc w:val="both"/>
        <w:rPr>
          <w:rFonts w:ascii="Garamond" w:hAnsi="Garamond" w:eastAsia="Segoe UI" w:cs="Segoe UI"/>
        </w:rPr>
      </w:pPr>
      <w:r w:rsidRPr="005A64A1">
        <w:rPr>
          <w:rFonts w:ascii="Garamond" w:hAnsi="Garamond" w:eastAsia="Segoe UI" w:cs="Segoe UI"/>
          <w:b/>
          <w:bCs/>
        </w:rPr>
        <w:t>Challenges in the Current Insolvency Regime</w:t>
      </w:r>
      <w:r w:rsidRPr="005A64A1">
        <w:rPr>
          <w:rFonts w:ascii="Garamond" w:hAnsi="Garamond" w:eastAsia="Segoe UI" w:cs="Segoe UI"/>
        </w:rPr>
        <w:t xml:space="preserve">: Farmers struggle </w:t>
      </w:r>
      <w:r w:rsidRPr="005A64A1" w:rsidR="55808D83">
        <w:rPr>
          <w:rFonts w:ascii="Garamond" w:hAnsi="Garamond" w:eastAsia="Segoe UI" w:cs="Segoe UI"/>
        </w:rPr>
        <w:t>accessing</w:t>
      </w:r>
      <w:r w:rsidRPr="005A64A1">
        <w:rPr>
          <w:rFonts w:ascii="Garamond" w:hAnsi="Garamond" w:eastAsia="Segoe UI" w:cs="Segoe UI"/>
        </w:rPr>
        <w:t xml:space="preserve"> the current insolvency </w:t>
      </w:r>
      <w:r w:rsidRPr="005A64A1" w:rsidR="00BB2DBB">
        <w:rPr>
          <w:rFonts w:ascii="Garamond" w:hAnsi="Garamond" w:eastAsia="Segoe UI" w:cs="Segoe UI"/>
        </w:rPr>
        <w:t>and restructuring regime</w:t>
      </w:r>
      <w:r w:rsidRPr="005A64A1">
        <w:rPr>
          <w:rFonts w:ascii="Garamond" w:hAnsi="Garamond" w:eastAsia="Segoe UI" w:cs="Segoe UI"/>
        </w:rPr>
        <w:t xml:space="preserve"> due to its lack of sector-specific provisions. The high costs, lack of information,</w:t>
      </w:r>
      <w:r w:rsidRPr="005A64A1" w:rsidR="35AB58E4">
        <w:rPr>
          <w:rFonts w:ascii="Garamond" w:hAnsi="Garamond" w:eastAsia="Segoe UI" w:cs="Segoe UI"/>
        </w:rPr>
        <w:t xml:space="preserve"> and </w:t>
      </w:r>
      <w:r w:rsidRPr="005A64A1">
        <w:rPr>
          <w:rFonts w:ascii="Garamond" w:hAnsi="Garamond" w:eastAsia="Segoe UI" w:cs="Segoe UI"/>
        </w:rPr>
        <w:t>complexity of insolvency procedures deter many farmers from seeking formal relief.</w:t>
      </w:r>
    </w:p>
    <w:p w:rsidRPr="005A64A1" w:rsidR="00452B38" w:rsidP="000F2ECC" w:rsidRDefault="4EB1A022" w14:paraId="6BA623DE" w14:textId="48523264">
      <w:pPr>
        <w:pStyle w:val="ListParagraph"/>
        <w:numPr>
          <w:ilvl w:val="0"/>
          <w:numId w:val="2"/>
        </w:numPr>
        <w:spacing w:after="0" w:line="300" w:lineRule="auto"/>
        <w:jc w:val="lowKashida"/>
        <w:rPr>
          <w:rFonts w:ascii="Garamond" w:hAnsi="Garamond"/>
        </w:rPr>
      </w:pPr>
      <w:r w:rsidRPr="005A64A1">
        <w:rPr>
          <w:rFonts w:ascii="Garamond" w:hAnsi="Garamond" w:eastAsia="Segoe UI" w:cs="Segoe UI"/>
          <w:b/>
          <w:bCs/>
        </w:rPr>
        <w:t>Stakeholder Perspectives</w:t>
      </w:r>
      <w:r w:rsidRPr="005A64A1">
        <w:rPr>
          <w:rFonts w:ascii="Garamond" w:hAnsi="Garamond" w:eastAsia="Segoe UI" w:cs="Segoe UI"/>
        </w:rPr>
        <w:t>: Interviews with legal professionals reveal that farmers often rely on informal workouts with creditors due to the inadequacy of formal insolvency procedures</w:t>
      </w:r>
      <w:r w:rsidRPr="005A64A1" w:rsidR="7DE55246">
        <w:rPr>
          <w:rFonts w:ascii="Garamond" w:hAnsi="Garamond" w:eastAsia="Segoe UI" w:cs="Segoe UI"/>
        </w:rPr>
        <w:t xml:space="preserve"> for their deb</w:t>
      </w:r>
      <w:r w:rsidRPr="005A64A1" w:rsidR="0D374369">
        <w:rPr>
          <w:rFonts w:ascii="Garamond" w:hAnsi="Garamond" w:eastAsia="Segoe UI" w:cs="Segoe UI"/>
        </w:rPr>
        <w:t xml:space="preserve">t composition. </w:t>
      </w:r>
      <w:r w:rsidRPr="005A64A1" w:rsidR="548FD553">
        <w:rPr>
          <w:rFonts w:ascii="Garamond" w:hAnsi="Garamond" w:eastAsia="Segoe UI" w:cs="Segoe UI"/>
        </w:rPr>
        <w:t>In practice, f</w:t>
      </w:r>
      <w:r w:rsidRPr="005A64A1" w:rsidR="63D983CB">
        <w:rPr>
          <w:rFonts w:ascii="Garamond" w:hAnsi="Garamond" w:eastAsia="Segoe UI" w:cs="Segoe UI"/>
        </w:rPr>
        <w:t>armers</w:t>
      </w:r>
      <w:r w:rsidRPr="005A64A1" w:rsidR="1625C262">
        <w:rPr>
          <w:rFonts w:ascii="Garamond" w:hAnsi="Garamond" w:eastAsia="Garamond" w:cs="Garamond"/>
          <w:color w:val="000000" w:themeColor="text1"/>
        </w:rPr>
        <w:t xml:space="preserve"> may not need a collective procedure, i.e. a procedure that addresses a plurality of creditors, because they </w:t>
      </w:r>
      <w:r w:rsidRPr="005A64A1" w:rsidR="6D54B967">
        <w:rPr>
          <w:rFonts w:ascii="Garamond" w:hAnsi="Garamond" w:eastAsia="Garamond" w:cs="Garamond"/>
          <w:color w:val="000000" w:themeColor="text1"/>
        </w:rPr>
        <w:t xml:space="preserve">often </w:t>
      </w:r>
      <w:r w:rsidRPr="005A64A1" w:rsidR="1625C262">
        <w:rPr>
          <w:rFonts w:ascii="Garamond" w:hAnsi="Garamond" w:eastAsia="Garamond" w:cs="Garamond"/>
          <w:color w:val="000000" w:themeColor="text1"/>
        </w:rPr>
        <w:t xml:space="preserve">have just one creditor (the bank). </w:t>
      </w:r>
      <w:r w:rsidRPr="005A64A1" w:rsidR="00A45D36">
        <w:rPr>
          <w:rFonts w:ascii="Garamond" w:hAnsi="Garamond" w:eastAsia="Garamond" w:cs="Garamond"/>
          <w:color w:val="000000" w:themeColor="text1"/>
        </w:rPr>
        <w:t xml:space="preserve">Even in the case of multiple creditors, the farmers’ credit architecture is </w:t>
      </w:r>
      <w:r w:rsidRPr="005A64A1" w:rsidR="00327AFD">
        <w:rPr>
          <w:rFonts w:ascii="Garamond" w:hAnsi="Garamond" w:eastAsia="Garamond" w:cs="Garamond"/>
          <w:color w:val="000000" w:themeColor="text1"/>
        </w:rPr>
        <w:t>characterized</w:t>
      </w:r>
      <w:r w:rsidRPr="005A64A1" w:rsidR="00A45D36">
        <w:rPr>
          <w:rFonts w:ascii="Garamond" w:hAnsi="Garamond" w:eastAsia="Garamond" w:cs="Garamond"/>
          <w:color w:val="000000" w:themeColor="text1"/>
        </w:rPr>
        <w:t xml:space="preserve"> by a monopolising creditor, heavily secured</w:t>
      </w:r>
      <w:r w:rsidRPr="005A64A1" w:rsidR="00327AFD">
        <w:rPr>
          <w:rFonts w:ascii="Garamond" w:hAnsi="Garamond" w:eastAsia="Garamond" w:cs="Garamond"/>
          <w:color w:val="000000" w:themeColor="text1"/>
        </w:rPr>
        <w:t xml:space="preserve">. Farmers </w:t>
      </w:r>
      <w:r w:rsidRPr="005A64A1" w:rsidR="503E892F">
        <w:rPr>
          <w:rFonts w:ascii="Garamond" w:hAnsi="Garamond" w:eastAsia="Garamond" w:cs="Garamond"/>
          <w:color w:val="000000" w:themeColor="text1"/>
        </w:rPr>
        <w:t xml:space="preserve">need rules that address </w:t>
      </w:r>
      <w:r w:rsidRPr="005A64A1" w:rsidR="477BC707">
        <w:rPr>
          <w:rFonts w:ascii="Garamond" w:hAnsi="Garamond" w:eastAsia="Garamond" w:cs="Garamond"/>
          <w:color w:val="000000" w:themeColor="text1"/>
        </w:rPr>
        <w:t>systemic vulnerabilities</w:t>
      </w:r>
      <w:r w:rsidRPr="005A64A1" w:rsidR="00327AFD">
        <w:rPr>
          <w:rFonts w:ascii="Garamond" w:hAnsi="Garamond" w:eastAsia="Garamond" w:cs="Garamond"/>
          <w:color w:val="000000" w:themeColor="text1"/>
        </w:rPr>
        <w:t xml:space="preserve"> of the sector</w:t>
      </w:r>
      <w:r w:rsidRPr="005A64A1" w:rsidR="477BC707">
        <w:rPr>
          <w:rFonts w:ascii="Garamond" w:hAnsi="Garamond" w:eastAsia="Garamond" w:cs="Garamond"/>
          <w:color w:val="000000" w:themeColor="text1"/>
        </w:rPr>
        <w:t xml:space="preserve"> </w:t>
      </w:r>
      <w:r w:rsidRPr="005A64A1" w:rsidR="44AB1237">
        <w:rPr>
          <w:rFonts w:ascii="Garamond" w:hAnsi="Garamond" w:eastAsia="Garamond" w:cs="Garamond"/>
          <w:color w:val="000000" w:themeColor="text1"/>
        </w:rPr>
        <w:t>such as</w:t>
      </w:r>
      <w:r w:rsidRPr="005A64A1" w:rsidR="477BC707">
        <w:rPr>
          <w:rFonts w:ascii="Garamond" w:hAnsi="Garamond" w:eastAsia="Garamond" w:cs="Garamond"/>
          <w:color w:val="000000" w:themeColor="text1"/>
        </w:rPr>
        <w:t xml:space="preserve"> </w:t>
      </w:r>
      <w:r w:rsidRPr="005A64A1" w:rsidR="0975533B">
        <w:rPr>
          <w:rFonts w:ascii="Garamond" w:hAnsi="Garamond" w:eastAsia="Garamond" w:cs="Garamond"/>
          <w:color w:val="000000" w:themeColor="text1"/>
        </w:rPr>
        <w:t>(i) the bargaining imbalance between debtor and creditor, (ii) the need for agri-business expertise in practitioners (to guarantee success of the restructuring process and avoiding potential personal liabilities and (iii) the mental health issues affecting the sector.</w:t>
      </w:r>
    </w:p>
    <w:p w:rsidRPr="005A64A1" w:rsidR="70AD1305" w:rsidP="00327AFD" w:rsidRDefault="70AD1305" w14:paraId="3318D208" w14:textId="028D4253">
      <w:pPr>
        <w:pStyle w:val="ListParagraph"/>
        <w:numPr>
          <w:ilvl w:val="0"/>
          <w:numId w:val="2"/>
        </w:numPr>
        <w:spacing w:after="0" w:line="300" w:lineRule="auto"/>
        <w:jc w:val="both"/>
        <w:rPr>
          <w:rFonts w:ascii="Garamond" w:hAnsi="Garamond" w:eastAsia="Segoe UI" w:cs="Segoe UI"/>
        </w:rPr>
      </w:pPr>
      <w:r w:rsidRPr="005A64A1">
        <w:rPr>
          <w:rFonts w:ascii="Garamond" w:hAnsi="Garamond" w:eastAsia="Segoe UI" w:cs="Segoe UI"/>
          <w:b/>
          <w:bCs/>
        </w:rPr>
        <w:lastRenderedPageBreak/>
        <w:t>Comparative Insights</w:t>
      </w:r>
      <w:r w:rsidRPr="005A64A1">
        <w:rPr>
          <w:rFonts w:ascii="Garamond" w:hAnsi="Garamond" w:eastAsia="Segoe UI" w:cs="Segoe UI"/>
        </w:rPr>
        <w:t>: The US and Australia have implemented successful farm debt mediation schemes that provide a more balanced negotiation process and prevent unnecessary liquidation of farming businesses.</w:t>
      </w:r>
    </w:p>
    <w:p w:rsidRPr="005A64A1" w:rsidR="364115E8" w:rsidP="364115E8" w:rsidRDefault="364115E8" w14:paraId="0D28B388" w14:textId="6EBD91FA">
      <w:pPr>
        <w:pStyle w:val="ListParagraph"/>
        <w:spacing w:after="0" w:line="300" w:lineRule="auto"/>
        <w:rPr>
          <w:rFonts w:ascii="Garamond" w:hAnsi="Garamond"/>
        </w:rPr>
      </w:pPr>
    </w:p>
    <w:p w:rsidRPr="005A64A1" w:rsidR="00452B38" w:rsidP="46618CEC" w:rsidRDefault="4735CAA6" w14:paraId="5AA79F1C" w14:textId="15ECADBD">
      <w:pPr>
        <w:pStyle w:val="Heading4"/>
        <w:spacing w:before="279" w:after="279" w:line="300" w:lineRule="auto"/>
        <w:rPr>
          <w:rFonts w:ascii="Garamond" w:hAnsi="Garamond"/>
          <w:color w:val="124F1A" w:themeColor="accent3" w:themeShade="BF"/>
          <w:sz w:val="28"/>
          <w:szCs w:val="28"/>
        </w:rPr>
      </w:pPr>
      <w:r w:rsidRPr="005A64A1">
        <w:rPr>
          <w:rFonts w:ascii="Garamond" w:hAnsi="Garamond" w:eastAsia="Segoe UI" w:cs="Segoe UI"/>
          <w:b/>
          <w:bCs/>
          <w:i w:val="0"/>
          <w:iCs w:val="0"/>
          <w:color w:val="124F1A" w:themeColor="accent3" w:themeShade="BF"/>
          <w:sz w:val="28"/>
          <w:szCs w:val="28"/>
        </w:rPr>
        <w:t>Policy Recommendations</w:t>
      </w:r>
    </w:p>
    <w:p w:rsidRPr="005A64A1" w:rsidR="00452B38" w:rsidP="00327AFD" w:rsidRDefault="4735CAA6" w14:paraId="7FE4C920" w14:textId="2949260B">
      <w:pPr>
        <w:pStyle w:val="ListParagraph"/>
        <w:numPr>
          <w:ilvl w:val="0"/>
          <w:numId w:val="3"/>
        </w:numPr>
        <w:spacing w:after="0" w:line="300" w:lineRule="auto"/>
        <w:jc w:val="both"/>
        <w:rPr>
          <w:rFonts w:ascii="Garamond" w:hAnsi="Garamond" w:eastAsia="Segoe UI" w:cs="Segoe UI"/>
        </w:rPr>
      </w:pPr>
      <w:r w:rsidRPr="005A64A1">
        <w:rPr>
          <w:rFonts w:ascii="Garamond" w:hAnsi="Garamond" w:eastAsia="Segoe UI" w:cs="Segoe UI"/>
          <w:b/>
          <w:bCs/>
        </w:rPr>
        <w:t>Implement a Farm Debt Mediation Scheme</w:t>
      </w:r>
      <w:r w:rsidRPr="005A64A1">
        <w:rPr>
          <w:rFonts w:ascii="Garamond" w:hAnsi="Garamond" w:eastAsia="Segoe UI" w:cs="Segoe UI"/>
        </w:rPr>
        <w:t>: Introduce a mediation process similar to those in the US and Australia, where a neutral third party facilitates negotiations between farmers and creditors to restructure agricultural loans.</w:t>
      </w:r>
    </w:p>
    <w:p w:rsidRPr="005A64A1" w:rsidR="005B4E77" w:rsidP="003C0DEB" w:rsidRDefault="00F85E89" w14:paraId="52F6069C" w14:textId="3979277F">
      <w:pPr>
        <w:pStyle w:val="ListParagraph"/>
        <w:numPr>
          <w:ilvl w:val="0"/>
          <w:numId w:val="3"/>
        </w:numPr>
        <w:spacing w:after="0" w:line="300" w:lineRule="auto"/>
        <w:jc w:val="both"/>
        <w:rPr>
          <w:rFonts w:ascii="Garamond" w:hAnsi="Garamond" w:eastAsia="Segoe UI" w:cs="Segoe UI"/>
        </w:rPr>
      </w:pPr>
      <w:r w:rsidRPr="005A64A1">
        <w:rPr>
          <w:rFonts w:ascii="Garamond" w:hAnsi="Garamond" w:eastAsia="Segoe UI" w:cs="Segoe UI"/>
          <w:b/>
          <w:bCs/>
        </w:rPr>
        <w:t>Specialized Insolvency Rules for Farmers</w:t>
      </w:r>
      <w:r w:rsidRPr="005A64A1">
        <w:rPr>
          <w:rFonts w:ascii="Garamond" w:hAnsi="Garamond" w:eastAsia="Segoe UI" w:cs="Segoe UI"/>
        </w:rPr>
        <w:t>: Develop insolvency</w:t>
      </w:r>
      <w:r w:rsidR="0025500E">
        <w:rPr>
          <w:rFonts w:ascii="Garamond" w:hAnsi="Garamond" w:eastAsia="Segoe UI" w:cs="Segoe UI"/>
        </w:rPr>
        <w:t xml:space="preserve"> rules </w:t>
      </w:r>
      <w:r w:rsidRPr="005A64A1">
        <w:rPr>
          <w:rFonts w:ascii="Garamond" w:hAnsi="Garamond" w:eastAsia="Segoe UI" w:cs="Segoe UI"/>
        </w:rPr>
        <w:t xml:space="preserve">tailored to the unique needs of the agricultural sector, ensuring that farmers can access appropriate support and restructuring options to </w:t>
      </w:r>
      <w:r w:rsidRPr="005A64A1" w:rsidR="006853D3">
        <w:rPr>
          <w:rFonts w:ascii="Garamond" w:hAnsi="Garamond" w:eastAsia="Segoe UI" w:cs="Segoe UI"/>
        </w:rPr>
        <w:t xml:space="preserve">allow the preservation of sustainable farming practices. </w:t>
      </w:r>
    </w:p>
    <w:p w:rsidRPr="005A64A1" w:rsidR="00452B38" w:rsidP="00E52C30" w:rsidRDefault="4735CAA6" w14:paraId="6178EF71" w14:textId="77C9618E">
      <w:pPr>
        <w:pStyle w:val="ListParagraph"/>
        <w:numPr>
          <w:ilvl w:val="0"/>
          <w:numId w:val="3"/>
        </w:numPr>
        <w:spacing w:after="0" w:line="300" w:lineRule="auto"/>
        <w:jc w:val="both"/>
        <w:rPr>
          <w:rFonts w:ascii="Garamond" w:hAnsi="Garamond" w:eastAsia="Segoe UI" w:cs="Segoe UI"/>
        </w:rPr>
      </w:pPr>
      <w:r w:rsidRPr="005A64A1">
        <w:rPr>
          <w:rFonts w:ascii="Garamond" w:hAnsi="Garamond" w:eastAsia="Segoe UI" w:cs="Segoe UI"/>
          <w:b/>
          <w:bCs/>
        </w:rPr>
        <w:t>Training for Insolvency Practitioners</w:t>
      </w:r>
      <w:r w:rsidRPr="005A64A1">
        <w:rPr>
          <w:rFonts w:ascii="Garamond" w:hAnsi="Garamond" w:eastAsia="Segoe UI" w:cs="Segoe UI"/>
        </w:rPr>
        <w:t xml:space="preserve">: Ensure that insolvency practitioners </w:t>
      </w:r>
      <w:r w:rsidRPr="005A64A1" w:rsidR="3D0DE491">
        <w:rPr>
          <w:rFonts w:ascii="Garamond" w:hAnsi="Garamond" w:eastAsia="Segoe UI" w:cs="Segoe UI"/>
        </w:rPr>
        <w:t xml:space="preserve">and </w:t>
      </w:r>
      <w:r w:rsidRPr="005A64A1" w:rsidR="00E52C30">
        <w:rPr>
          <w:rFonts w:ascii="Garamond" w:hAnsi="Garamond" w:eastAsia="Segoe UI" w:cs="Segoe UI"/>
        </w:rPr>
        <w:t>consultants</w:t>
      </w:r>
      <w:r w:rsidRPr="005A64A1" w:rsidR="3D0DE491">
        <w:rPr>
          <w:rFonts w:ascii="Garamond" w:hAnsi="Garamond" w:eastAsia="Segoe UI" w:cs="Segoe UI"/>
        </w:rPr>
        <w:t xml:space="preserve"> </w:t>
      </w:r>
      <w:r w:rsidRPr="005A64A1">
        <w:rPr>
          <w:rFonts w:ascii="Garamond" w:hAnsi="Garamond" w:eastAsia="Segoe UI" w:cs="Segoe UI"/>
        </w:rPr>
        <w:t>handling agricultural cases have the necessary expertise in agribusiness to manage farm assets effectively and comply with animal welfare regulations.</w:t>
      </w:r>
    </w:p>
    <w:p w:rsidRPr="005A64A1" w:rsidR="00452B38" w:rsidP="00E52C30" w:rsidRDefault="4735CAA6" w14:paraId="7696A41A" w14:textId="707A1CDA">
      <w:pPr>
        <w:pStyle w:val="ListParagraph"/>
        <w:numPr>
          <w:ilvl w:val="0"/>
          <w:numId w:val="3"/>
        </w:numPr>
        <w:spacing w:after="0" w:line="300" w:lineRule="auto"/>
        <w:jc w:val="both"/>
        <w:rPr>
          <w:rFonts w:ascii="Garamond" w:hAnsi="Garamond" w:eastAsia="Segoe UI" w:cs="Segoe UI"/>
        </w:rPr>
      </w:pPr>
      <w:r w:rsidRPr="005A64A1">
        <w:rPr>
          <w:rFonts w:ascii="Garamond" w:hAnsi="Garamond" w:eastAsia="Segoe UI" w:cs="Segoe UI"/>
          <w:b/>
          <w:bCs/>
        </w:rPr>
        <w:t>Support for Mental Health</w:t>
      </w:r>
      <w:r w:rsidRPr="005A64A1">
        <w:rPr>
          <w:rFonts w:ascii="Garamond" w:hAnsi="Garamond" w:eastAsia="Segoe UI" w:cs="Segoe UI"/>
        </w:rPr>
        <w:t>: Provide mental health support for farmers facing financial distress, recognizing the severe impact of economic challenges on their well-being.</w:t>
      </w:r>
    </w:p>
    <w:p w:rsidRPr="005A64A1" w:rsidR="00452B38" w:rsidP="46618CEC" w:rsidRDefault="4735CAA6" w14:paraId="5856E427" w14:textId="10BA283F">
      <w:pPr>
        <w:pStyle w:val="Heading4"/>
        <w:spacing w:before="279" w:after="279" w:line="300" w:lineRule="auto"/>
        <w:rPr>
          <w:rFonts w:ascii="Garamond" w:hAnsi="Garamond"/>
          <w:color w:val="124F1A" w:themeColor="accent3" w:themeShade="BF"/>
          <w:sz w:val="28"/>
          <w:szCs w:val="28"/>
        </w:rPr>
      </w:pPr>
      <w:r w:rsidRPr="005A64A1">
        <w:rPr>
          <w:rFonts w:ascii="Garamond" w:hAnsi="Garamond" w:eastAsia="Segoe UI" w:cs="Segoe UI"/>
          <w:b/>
          <w:bCs/>
          <w:i w:val="0"/>
          <w:iCs w:val="0"/>
          <w:color w:val="124F1A" w:themeColor="accent3" w:themeShade="BF"/>
          <w:sz w:val="28"/>
          <w:szCs w:val="28"/>
        </w:rPr>
        <w:t>Conclusion</w:t>
      </w:r>
    </w:p>
    <w:p w:rsidRPr="005A64A1" w:rsidR="00452B38" w:rsidP="00E66059" w:rsidRDefault="4735CAA6" w14:paraId="326092B2" w14:textId="3248E21C">
      <w:pPr>
        <w:spacing w:before="210" w:after="210" w:line="300" w:lineRule="auto"/>
        <w:jc w:val="both"/>
        <w:rPr>
          <w:rFonts w:ascii="Garamond" w:hAnsi="Garamond"/>
        </w:rPr>
      </w:pPr>
      <w:r w:rsidRPr="005A64A1">
        <w:rPr>
          <w:rFonts w:ascii="Garamond" w:hAnsi="Garamond" w:eastAsia="Segoe UI" w:cs="Segoe UI"/>
        </w:rPr>
        <w:t xml:space="preserve">Adopting a farm debt mediation scheme and specialized insolvency </w:t>
      </w:r>
      <w:r w:rsidRPr="005A64A1" w:rsidR="00D36ACC">
        <w:rPr>
          <w:rFonts w:ascii="Garamond" w:hAnsi="Garamond" w:eastAsia="Segoe UI" w:cs="Segoe UI"/>
        </w:rPr>
        <w:t>rules</w:t>
      </w:r>
      <w:r w:rsidRPr="005A64A1">
        <w:rPr>
          <w:rFonts w:ascii="Garamond" w:hAnsi="Garamond" w:eastAsia="Segoe UI" w:cs="Segoe UI"/>
        </w:rPr>
        <w:t xml:space="preserve"> in England can significantly improve the financial sustainability of the </w:t>
      </w:r>
      <w:r w:rsidRPr="005A64A1" w:rsidR="005A64A1">
        <w:rPr>
          <w:rFonts w:ascii="Garamond" w:hAnsi="Garamond" w:eastAsia="Segoe UI" w:cs="Segoe UI"/>
        </w:rPr>
        <w:t xml:space="preserve">English </w:t>
      </w:r>
      <w:r w:rsidRPr="005A64A1">
        <w:rPr>
          <w:rFonts w:ascii="Garamond" w:hAnsi="Garamond" w:eastAsia="Segoe UI" w:cs="Segoe UI"/>
        </w:rPr>
        <w:t xml:space="preserve">agricultural sector. These measures </w:t>
      </w:r>
      <w:r w:rsidRPr="005A64A1" w:rsidR="00E66059">
        <w:rPr>
          <w:rFonts w:ascii="Garamond" w:hAnsi="Garamond" w:eastAsia="Segoe UI" w:cs="Segoe UI"/>
        </w:rPr>
        <w:t>can</w:t>
      </w:r>
      <w:r w:rsidRPr="005A64A1">
        <w:rPr>
          <w:rFonts w:ascii="Garamond" w:hAnsi="Garamond" w:eastAsia="Segoe UI" w:cs="Segoe UI"/>
        </w:rPr>
        <w:t xml:space="preserve"> help preserve farming businesses, support rural economies, and enhance the mental health and well-being of farmers.</w:t>
      </w:r>
    </w:p>
    <w:p w:rsidRPr="005A64A1" w:rsidR="00452B38" w:rsidP="46618CEC" w:rsidRDefault="4735CAA6" w14:paraId="2210A2C2" w14:textId="127F1FB8">
      <w:pPr>
        <w:pStyle w:val="Heading4"/>
        <w:spacing w:before="279" w:after="279" w:line="300" w:lineRule="auto"/>
        <w:rPr>
          <w:rFonts w:ascii="Garamond" w:hAnsi="Garamond"/>
          <w:color w:val="124F1A" w:themeColor="accent3" w:themeShade="BF"/>
          <w:sz w:val="28"/>
          <w:szCs w:val="28"/>
        </w:rPr>
      </w:pPr>
      <w:r w:rsidRPr="005A64A1">
        <w:rPr>
          <w:rFonts w:ascii="Garamond" w:hAnsi="Garamond" w:eastAsia="Segoe UI" w:cs="Segoe UI"/>
          <w:b/>
          <w:bCs/>
          <w:i w:val="0"/>
          <w:iCs w:val="0"/>
          <w:color w:val="124F1A" w:themeColor="accent3" w:themeShade="BF"/>
          <w:sz w:val="28"/>
          <w:szCs w:val="28"/>
        </w:rPr>
        <w:t>References</w:t>
      </w:r>
    </w:p>
    <w:p w:rsidRPr="005A64A1" w:rsidR="00B252B1" w:rsidP="00B252B1" w:rsidRDefault="00E96C7D" w14:paraId="04D1D83D" w14:textId="1DBC90BF">
      <w:pPr>
        <w:rPr>
          <w:rFonts w:ascii="Garamond" w:hAnsi="Garamond" w:eastAsia="Times New Roman" w:cs="Times New Roman"/>
          <w:lang w:eastAsia="en-GB"/>
        </w:rPr>
      </w:pPr>
      <w:r w:rsidRPr="005A64A1">
        <w:rPr>
          <w:rFonts w:ascii="Garamond" w:hAnsi="Garamond" w:eastAsia="Segoe UI" w:cs="Segoe UI"/>
        </w:rPr>
        <w:t>Oriana Casasola ‘</w:t>
      </w:r>
      <w:r w:rsidRPr="005A64A1" w:rsidR="4735CAA6">
        <w:rPr>
          <w:rFonts w:ascii="Garamond" w:hAnsi="Garamond" w:eastAsia="Segoe UI" w:cs="Segoe UI"/>
        </w:rPr>
        <w:t>Addressing Farmers’ Financial Distress in England</w:t>
      </w:r>
      <w:r w:rsidRPr="005A64A1" w:rsidR="0061616F">
        <w:rPr>
          <w:rFonts w:ascii="Garamond" w:hAnsi="Garamond" w:eastAsia="Segoe UI" w:cs="Segoe UI"/>
        </w:rPr>
        <w:t xml:space="preserve">’ </w:t>
      </w:r>
      <w:r w:rsidRPr="005A64A1" w:rsidR="00B252B1">
        <w:rPr>
          <w:rFonts w:ascii="Garamond" w:hAnsi="Garamond" w:eastAsia="Segoe UI" w:cs="Segoe UI"/>
        </w:rPr>
        <w:t xml:space="preserve">in </w:t>
      </w:r>
      <w:r w:rsidRPr="005A64A1" w:rsidR="00B252B1">
        <w:rPr>
          <w:rFonts w:ascii="Garamond" w:hAnsi="Garamond" w:eastAsia="Times New Roman" w:cs="Times New Roman"/>
          <w:lang w:eastAsia="en-GB"/>
        </w:rPr>
        <w:t>Journal of International and Comparative Law</w:t>
      </w:r>
      <w:r w:rsidRPr="005A64A1" w:rsidR="00AE4E38">
        <w:rPr>
          <w:rFonts w:ascii="Garamond" w:hAnsi="Garamond" w:eastAsia="Times New Roman" w:cs="Times New Roman"/>
          <w:lang w:eastAsia="en-GB"/>
        </w:rPr>
        <w:t xml:space="preserve"> forthcoming </w:t>
      </w:r>
      <w:r w:rsidRPr="005A64A1" w:rsidR="00B252B1">
        <w:rPr>
          <w:rFonts w:ascii="Garamond" w:hAnsi="Garamond" w:eastAsia="Times New Roman" w:cs="Times New Roman"/>
          <w:lang w:eastAsia="en-GB"/>
        </w:rPr>
        <w:t>2025</w:t>
      </w:r>
      <w:r w:rsidRPr="005A64A1" w:rsidR="00AE4E38">
        <w:rPr>
          <w:rFonts w:ascii="Garamond" w:hAnsi="Garamond" w:eastAsia="Times New Roman" w:cs="Times New Roman"/>
          <w:lang w:eastAsia="en-GB"/>
        </w:rPr>
        <w:t>(2).</w:t>
      </w:r>
    </w:p>
    <w:p w:rsidRPr="005A64A1" w:rsidR="0061616F" w:rsidP="0061616F" w:rsidRDefault="0061616F" w14:paraId="5660D020" w14:textId="43C3DBE5">
      <w:pPr>
        <w:pStyle w:val="Heading4"/>
        <w:spacing w:before="279" w:after="279" w:line="300" w:lineRule="auto"/>
        <w:rPr>
          <w:rFonts w:ascii="Garamond" w:hAnsi="Garamond" w:eastAsia="Segoe UI" w:cs="Segoe UI"/>
          <w:b/>
          <w:bCs/>
          <w:i w:val="0"/>
          <w:iCs w:val="0"/>
          <w:color w:val="124F1A" w:themeColor="accent3" w:themeShade="BF"/>
          <w:sz w:val="28"/>
          <w:szCs w:val="28"/>
        </w:rPr>
      </w:pPr>
      <w:r w:rsidRPr="005A64A1">
        <w:rPr>
          <w:rFonts w:ascii="Garamond" w:hAnsi="Garamond" w:eastAsia="Segoe UI" w:cs="Segoe UI"/>
          <w:b/>
          <w:bCs/>
          <w:i w:val="0"/>
          <w:iCs w:val="0"/>
          <w:color w:val="124F1A" w:themeColor="accent3" w:themeShade="BF"/>
          <w:sz w:val="28"/>
          <w:szCs w:val="28"/>
        </w:rPr>
        <w:t xml:space="preserve">Contact </w:t>
      </w:r>
    </w:p>
    <w:p w:rsidRPr="005A64A1" w:rsidR="00AE4E38" w:rsidP="00AE4E38" w:rsidRDefault="00A35ADD" w14:paraId="2F0FB5FD" w14:textId="693441EC">
      <w:pPr>
        <w:rPr>
          <w:rFonts w:ascii="Garamond" w:hAnsi="Garamond"/>
        </w:rPr>
      </w:pPr>
      <w:hyperlink w:history="1" r:id="rId9">
        <w:r w:rsidRPr="005A64A1" w:rsidR="00EB3F4F">
          <w:rPr>
            <w:rStyle w:val="Hyperlink"/>
            <w:rFonts w:ascii="Garamond" w:hAnsi="Garamond"/>
            <w:color w:val="156082" w:themeColor="accent1"/>
          </w:rPr>
          <w:t>O.Casasola@leeds.ac.uk</w:t>
        </w:r>
      </w:hyperlink>
      <w:r w:rsidRPr="005A64A1" w:rsidR="00EB3F4F">
        <w:rPr>
          <w:rFonts w:ascii="Garamond" w:hAnsi="Garamond"/>
        </w:rPr>
        <w:t xml:space="preserve"> </w:t>
      </w:r>
    </w:p>
    <w:p w:rsidRPr="006C38B5" w:rsidR="0061616F" w:rsidRDefault="0061616F" w14:paraId="21F530E0" w14:textId="77777777">
      <w:pPr>
        <w:rPr>
          <w:rFonts w:ascii="Garamond" w:hAnsi="Garamond"/>
        </w:rPr>
      </w:pPr>
    </w:p>
    <w:sectPr w:rsidRPr="006C38B5" w:rsidR="0061616F" w:rsidSect="00EB3F4F">
      <w:footerReference w:type="default" r:id="rId10"/>
      <w:pgSz w:w="12240" w:h="15840" w:orient="portrait"/>
      <w:pgMar w:top="1440" w:right="1440" w:bottom="1440" w:left="1440" w:header="720" w:footer="720" w:gutter="0"/>
      <w:pgBorders w:offsetFrom="page">
        <w:right w:val="threeDEmboss" w:color="196B24" w:themeColor="accent3" w:sz="48" w:space="24"/>
      </w:pgBorders>
      <w:cols w:space="720"/>
      <w:docGrid w:linePitch="360"/>
      <w:headerReference w:type="default" r:id="Rd8e77e0a56964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5A64A1" w:rsidR="00BC4990" w:rsidP="00F95C07" w:rsidRDefault="00BC4990" w14:paraId="34619187" w14:textId="77777777">
      <w:pPr>
        <w:spacing w:after="0" w:line="240" w:lineRule="auto"/>
      </w:pPr>
      <w:r w:rsidRPr="005A64A1">
        <w:separator/>
      </w:r>
    </w:p>
  </w:endnote>
  <w:endnote w:type="continuationSeparator" w:id="0">
    <w:p w:rsidRPr="005A64A1" w:rsidR="00BC4990" w:rsidP="00F95C07" w:rsidRDefault="00BC4990" w14:paraId="3673F10B" w14:textId="77777777">
      <w:pPr>
        <w:spacing w:after="0" w:line="240" w:lineRule="auto"/>
      </w:pPr>
      <w:r w:rsidRPr="005A64A1">
        <w:continuationSeparator/>
      </w:r>
    </w:p>
  </w:endnote>
  <w:endnote w:type="continuationNotice" w:id="1">
    <w:p w:rsidR="00BC4990" w:rsidRDefault="00BC4990" w14:paraId="3C913E5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14894"/>
      <w:docPartObj>
        <w:docPartGallery w:val="Page Numbers (Bottom of Page)"/>
        <w:docPartUnique/>
      </w:docPartObj>
    </w:sdtPr>
    <w:sdtEndPr/>
    <w:sdtContent>
      <w:p w:rsidRPr="005A64A1" w:rsidR="00F95C07" w:rsidRDefault="00F95C07" w14:paraId="7F308223" w14:textId="54E217F6">
        <w:pPr>
          <w:pStyle w:val="Footer"/>
          <w:jc w:val="center"/>
        </w:pPr>
        <w:r w:rsidRPr="005A64A1">
          <w:fldChar w:fldCharType="begin"/>
        </w:r>
        <w:r w:rsidRPr="005A64A1">
          <w:instrText xml:space="preserve"> PAGE   \* MERGEFORMAT </w:instrText>
        </w:r>
        <w:r w:rsidRPr="005A64A1">
          <w:fldChar w:fldCharType="separate"/>
        </w:r>
        <w:r w:rsidRPr="005A64A1">
          <w:t>2</w:t>
        </w:r>
        <w:r w:rsidRPr="005A64A1">
          <w:fldChar w:fldCharType="end"/>
        </w:r>
      </w:p>
    </w:sdtContent>
  </w:sdt>
  <w:p w:rsidRPr="005A64A1" w:rsidR="00F95C07" w:rsidRDefault="00F95C07" w14:paraId="351D37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5A64A1" w:rsidR="00BC4990" w:rsidP="00F95C07" w:rsidRDefault="00BC4990" w14:paraId="539BD2EF" w14:textId="77777777">
      <w:pPr>
        <w:spacing w:after="0" w:line="240" w:lineRule="auto"/>
      </w:pPr>
      <w:r w:rsidRPr="005A64A1">
        <w:separator/>
      </w:r>
    </w:p>
  </w:footnote>
  <w:footnote w:type="continuationSeparator" w:id="0">
    <w:p w:rsidRPr="005A64A1" w:rsidR="00BC4990" w:rsidP="00F95C07" w:rsidRDefault="00BC4990" w14:paraId="1177DAAF" w14:textId="77777777">
      <w:pPr>
        <w:spacing w:after="0" w:line="240" w:lineRule="auto"/>
      </w:pPr>
      <w:r w:rsidRPr="005A64A1">
        <w:continuationSeparator/>
      </w:r>
    </w:p>
  </w:footnote>
  <w:footnote w:type="continuationNotice" w:id="1">
    <w:p w:rsidR="00BC4990" w:rsidRDefault="00BC4990" w14:paraId="1A589148" w14:textId="77777777">
      <w:pPr>
        <w:spacing w:after="0" w:line="240" w:lineRule="auto"/>
      </w:pP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932"/>
      <w:gridCol w:w="2932"/>
      <w:gridCol w:w="3495"/>
    </w:tblGrid>
    <w:tr w:rsidR="2D468EBC" w:rsidTr="2D468EBC" w14:paraId="49C9A18F">
      <w:trPr>
        <w:trHeight w:val="300"/>
      </w:trPr>
      <w:tc>
        <w:tcPr>
          <w:tcW w:w="2932" w:type="dxa"/>
          <w:tcMar/>
        </w:tcPr>
        <w:p w:rsidR="2D468EBC" w:rsidP="2D468EBC" w:rsidRDefault="2D468EBC" w14:paraId="1B00A1DE" w14:textId="7F66765B">
          <w:pPr>
            <w:pStyle w:val="Header"/>
            <w:bidi w:val="0"/>
            <w:ind w:left="-115"/>
            <w:jc w:val="left"/>
          </w:pPr>
        </w:p>
      </w:tc>
      <w:tc>
        <w:tcPr>
          <w:tcW w:w="2932" w:type="dxa"/>
          <w:tcMar/>
        </w:tcPr>
        <w:p w:rsidR="2D468EBC" w:rsidP="2D468EBC" w:rsidRDefault="2D468EBC" w14:paraId="3941D491" w14:textId="33223109">
          <w:pPr>
            <w:pStyle w:val="Header"/>
            <w:bidi w:val="0"/>
            <w:jc w:val="center"/>
          </w:pPr>
        </w:p>
      </w:tc>
      <w:tc>
        <w:tcPr>
          <w:tcW w:w="3495" w:type="dxa"/>
          <w:tcMar/>
        </w:tcPr>
        <w:p w:rsidR="2D468EBC" w:rsidP="2D468EBC" w:rsidRDefault="2D468EBC" w14:paraId="5E71166B" w14:textId="091A1092">
          <w:pPr>
            <w:pStyle w:val="Heading3"/>
            <w:ind w:right="-115"/>
            <w:jc w:val="right"/>
          </w:pPr>
          <w:r w:rsidR="2D468EBC">
            <w:drawing>
              <wp:inline wp14:editId="7CE542D8" wp14:anchorId="4E1C13E3">
                <wp:extent cx="2087469" cy="695484"/>
                <wp:effectExtent l="0" t="0" r="0" b="0"/>
                <wp:docPr id="506618597" name="" title=""/>
                <wp:cNvGraphicFramePr>
                  <a:graphicFrameLocks noChangeAspect="1"/>
                </wp:cNvGraphicFramePr>
                <a:graphic>
                  <a:graphicData uri="http://schemas.openxmlformats.org/drawingml/2006/picture">
                    <pic:pic>
                      <pic:nvPicPr>
                        <pic:cNvPr id="0" name=""/>
                        <pic:cNvPicPr/>
                      </pic:nvPicPr>
                      <pic:blipFill>
                        <a:blip r:embed="R089a6965cf8e479f">
                          <a:extLst>
                            <a:ext xmlns:a="http://schemas.openxmlformats.org/drawingml/2006/main" uri="{28A0092B-C50C-407E-A947-70E740481C1C}">
                              <a14:useLocalDpi val="0"/>
                            </a:ext>
                          </a:extLst>
                        </a:blip>
                        <a:srcRect l="0" t="35036" r="0" b="38321"/>
                        <a:stretch>
                          <a:fillRect/>
                        </a:stretch>
                      </pic:blipFill>
                      <pic:spPr>
                        <a:xfrm>
                          <a:off x="0" y="0"/>
                          <a:ext cx="2087469" cy="695484"/>
                        </a:xfrm>
                        <a:prstGeom prst="rect">
                          <a:avLst/>
                        </a:prstGeom>
                      </pic:spPr>
                    </pic:pic>
                  </a:graphicData>
                </a:graphic>
              </wp:inline>
            </w:drawing>
          </w:r>
        </w:p>
      </w:tc>
    </w:tr>
  </w:tbl>
  <w:p w:rsidR="2D468EBC" w:rsidP="2D468EBC" w:rsidRDefault="2D468EBC" w14:paraId="29E0CD4B" w14:textId="424790E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D0F6"/>
    <w:multiLevelType w:val="hybridMultilevel"/>
    <w:tmpl w:val="7928746A"/>
    <w:lvl w:ilvl="0" w:tplc="8CF408A4">
      <w:start w:val="1"/>
      <w:numFmt w:val="bullet"/>
      <w:lvlText w:val=""/>
      <w:lvlJc w:val="left"/>
      <w:pPr>
        <w:ind w:left="720" w:hanging="360"/>
      </w:pPr>
      <w:rPr>
        <w:rFonts w:hint="default" w:ascii="Symbol" w:hAnsi="Symbol"/>
      </w:rPr>
    </w:lvl>
    <w:lvl w:ilvl="1" w:tplc="DC9E1B72">
      <w:start w:val="1"/>
      <w:numFmt w:val="bullet"/>
      <w:lvlText w:val="o"/>
      <w:lvlJc w:val="left"/>
      <w:pPr>
        <w:ind w:left="1440" w:hanging="360"/>
      </w:pPr>
      <w:rPr>
        <w:rFonts w:hint="default" w:ascii="Courier New" w:hAnsi="Courier New"/>
      </w:rPr>
    </w:lvl>
    <w:lvl w:ilvl="2" w:tplc="641860C4">
      <w:start w:val="1"/>
      <w:numFmt w:val="bullet"/>
      <w:lvlText w:val=""/>
      <w:lvlJc w:val="left"/>
      <w:pPr>
        <w:ind w:left="2160" w:hanging="360"/>
      </w:pPr>
      <w:rPr>
        <w:rFonts w:hint="default" w:ascii="Wingdings" w:hAnsi="Wingdings"/>
      </w:rPr>
    </w:lvl>
    <w:lvl w:ilvl="3" w:tplc="9F26DB34">
      <w:start w:val="1"/>
      <w:numFmt w:val="bullet"/>
      <w:lvlText w:val=""/>
      <w:lvlJc w:val="left"/>
      <w:pPr>
        <w:ind w:left="2880" w:hanging="360"/>
      </w:pPr>
      <w:rPr>
        <w:rFonts w:hint="default" w:ascii="Symbol" w:hAnsi="Symbol"/>
      </w:rPr>
    </w:lvl>
    <w:lvl w:ilvl="4" w:tplc="0A62CB54">
      <w:start w:val="1"/>
      <w:numFmt w:val="bullet"/>
      <w:lvlText w:val="o"/>
      <w:lvlJc w:val="left"/>
      <w:pPr>
        <w:ind w:left="3600" w:hanging="360"/>
      </w:pPr>
      <w:rPr>
        <w:rFonts w:hint="default" w:ascii="Courier New" w:hAnsi="Courier New"/>
      </w:rPr>
    </w:lvl>
    <w:lvl w:ilvl="5" w:tplc="D09807BC">
      <w:start w:val="1"/>
      <w:numFmt w:val="bullet"/>
      <w:lvlText w:val=""/>
      <w:lvlJc w:val="left"/>
      <w:pPr>
        <w:ind w:left="4320" w:hanging="360"/>
      </w:pPr>
      <w:rPr>
        <w:rFonts w:hint="default" w:ascii="Wingdings" w:hAnsi="Wingdings"/>
      </w:rPr>
    </w:lvl>
    <w:lvl w:ilvl="6" w:tplc="0DBA095C">
      <w:start w:val="1"/>
      <w:numFmt w:val="bullet"/>
      <w:lvlText w:val=""/>
      <w:lvlJc w:val="left"/>
      <w:pPr>
        <w:ind w:left="5040" w:hanging="360"/>
      </w:pPr>
      <w:rPr>
        <w:rFonts w:hint="default" w:ascii="Symbol" w:hAnsi="Symbol"/>
      </w:rPr>
    </w:lvl>
    <w:lvl w:ilvl="7" w:tplc="57A00540">
      <w:start w:val="1"/>
      <w:numFmt w:val="bullet"/>
      <w:lvlText w:val="o"/>
      <w:lvlJc w:val="left"/>
      <w:pPr>
        <w:ind w:left="5760" w:hanging="360"/>
      </w:pPr>
      <w:rPr>
        <w:rFonts w:hint="default" w:ascii="Courier New" w:hAnsi="Courier New"/>
      </w:rPr>
    </w:lvl>
    <w:lvl w:ilvl="8" w:tplc="A7DC46DA">
      <w:start w:val="1"/>
      <w:numFmt w:val="bullet"/>
      <w:lvlText w:val=""/>
      <w:lvlJc w:val="left"/>
      <w:pPr>
        <w:ind w:left="6480" w:hanging="360"/>
      </w:pPr>
      <w:rPr>
        <w:rFonts w:hint="default" w:ascii="Wingdings" w:hAnsi="Wingdings"/>
      </w:rPr>
    </w:lvl>
  </w:abstractNum>
  <w:abstractNum w:abstractNumId="1" w15:restartNumberingAfterBreak="0">
    <w:nsid w:val="33B90507"/>
    <w:multiLevelType w:val="hybridMultilevel"/>
    <w:tmpl w:val="159C79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5DFB98B"/>
    <w:multiLevelType w:val="hybridMultilevel"/>
    <w:tmpl w:val="3EB29FB4"/>
    <w:lvl w:ilvl="0" w:tplc="2BD860B6">
      <w:start w:val="1"/>
      <w:numFmt w:val="bullet"/>
      <w:lvlText w:val=""/>
      <w:lvlJc w:val="left"/>
      <w:pPr>
        <w:ind w:left="720" w:hanging="360"/>
      </w:pPr>
      <w:rPr>
        <w:rFonts w:hint="default" w:ascii="Symbol" w:hAnsi="Symbol"/>
      </w:rPr>
    </w:lvl>
    <w:lvl w:ilvl="1" w:tplc="B79092AA">
      <w:start w:val="1"/>
      <w:numFmt w:val="bullet"/>
      <w:lvlText w:val="o"/>
      <w:lvlJc w:val="left"/>
      <w:pPr>
        <w:ind w:left="1440" w:hanging="360"/>
      </w:pPr>
      <w:rPr>
        <w:rFonts w:hint="default" w:ascii="Courier New" w:hAnsi="Courier New"/>
      </w:rPr>
    </w:lvl>
    <w:lvl w:ilvl="2" w:tplc="263E7784">
      <w:start w:val="1"/>
      <w:numFmt w:val="bullet"/>
      <w:lvlText w:val=""/>
      <w:lvlJc w:val="left"/>
      <w:pPr>
        <w:ind w:left="2160" w:hanging="360"/>
      </w:pPr>
      <w:rPr>
        <w:rFonts w:hint="default" w:ascii="Wingdings" w:hAnsi="Wingdings"/>
      </w:rPr>
    </w:lvl>
    <w:lvl w:ilvl="3" w:tplc="65EEB772">
      <w:start w:val="1"/>
      <w:numFmt w:val="bullet"/>
      <w:lvlText w:val=""/>
      <w:lvlJc w:val="left"/>
      <w:pPr>
        <w:ind w:left="2880" w:hanging="360"/>
      </w:pPr>
      <w:rPr>
        <w:rFonts w:hint="default" w:ascii="Symbol" w:hAnsi="Symbol"/>
      </w:rPr>
    </w:lvl>
    <w:lvl w:ilvl="4" w:tplc="14A6A76A">
      <w:start w:val="1"/>
      <w:numFmt w:val="bullet"/>
      <w:lvlText w:val="o"/>
      <w:lvlJc w:val="left"/>
      <w:pPr>
        <w:ind w:left="3600" w:hanging="360"/>
      </w:pPr>
      <w:rPr>
        <w:rFonts w:hint="default" w:ascii="Courier New" w:hAnsi="Courier New"/>
      </w:rPr>
    </w:lvl>
    <w:lvl w:ilvl="5" w:tplc="295C0622">
      <w:start w:val="1"/>
      <w:numFmt w:val="bullet"/>
      <w:lvlText w:val=""/>
      <w:lvlJc w:val="left"/>
      <w:pPr>
        <w:ind w:left="4320" w:hanging="360"/>
      </w:pPr>
      <w:rPr>
        <w:rFonts w:hint="default" w:ascii="Wingdings" w:hAnsi="Wingdings"/>
      </w:rPr>
    </w:lvl>
    <w:lvl w:ilvl="6" w:tplc="98BE203E">
      <w:start w:val="1"/>
      <w:numFmt w:val="bullet"/>
      <w:lvlText w:val=""/>
      <w:lvlJc w:val="left"/>
      <w:pPr>
        <w:ind w:left="5040" w:hanging="360"/>
      </w:pPr>
      <w:rPr>
        <w:rFonts w:hint="default" w:ascii="Symbol" w:hAnsi="Symbol"/>
      </w:rPr>
    </w:lvl>
    <w:lvl w:ilvl="7" w:tplc="76D8ACFA">
      <w:start w:val="1"/>
      <w:numFmt w:val="bullet"/>
      <w:lvlText w:val="o"/>
      <w:lvlJc w:val="left"/>
      <w:pPr>
        <w:ind w:left="5760" w:hanging="360"/>
      </w:pPr>
      <w:rPr>
        <w:rFonts w:hint="default" w:ascii="Courier New" w:hAnsi="Courier New"/>
      </w:rPr>
    </w:lvl>
    <w:lvl w:ilvl="8" w:tplc="861AF7A0">
      <w:start w:val="1"/>
      <w:numFmt w:val="bullet"/>
      <w:lvlText w:val=""/>
      <w:lvlJc w:val="left"/>
      <w:pPr>
        <w:ind w:left="6480" w:hanging="360"/>
      </w:pPr>
      <w:rPr>
        <w:rFonts w:hint="default" w:ascii="Wingdings" w:hAnsi="Wingdings"/>
      </w:rPr>
    </w:lvl>
  </w:abstractNum>
  <w:abstractNum w:abstractNumId="3" w15:restartNumberingAfterBreak="0">
    <w:nsid w:val="64015298"/>
    <w:multiLevelType w:val="hybridMultilevel"/>
    <w:tmpl w:val="1422ACDA"/>
    <w:lvl w:ilvl="0" w:tplc="CF5EFE7A">
      <w:start w:val="1"/>
      <w:numFmt w:val="decimal"/>
      <w:lvlText w:val="%1."/>
      <w:lvlJc w:val="left"/>
      <w:pPr>
        <w:ind w:left="720" w:hanging="360"/>
      </w:pPr>
    </w:lvl>
    <w:lvl w:ilvl="1" w:tplc="53BCDA58">
      <w:start w:val="1"/>
      <w:numFmt w:val="lowerLetter"/>
      <w:lvlText w:val="%2."/>
      <w:lvlJc w:val="left"/>
      <w:pPr>
        <w:ind w:left="1440" w:hanging="360"/>
      </w:pPr>
    </w:lvl>
    <w:lvl w:ilvl="2" w:tplc="F8AECCDE">
      <w:start w:val="1"/>
      <w:numFmt w:val="lowerRoman"/>
      <w:lvlText w:val="%3."/>
      <w:lvlJc w:val="right"/>
      <w:pPr>
        <w:ind w:left="2160" w:hanging="180"/>
      </w:pPr>
    </w:lvl>
    <w:lvl w:ilvl="3" w:tplc="EFCC016E">
      <w:start w:val="1"/>
      <w:numFmt w:val="decimal"/>
      <w:lvlText w:val="%4."/>
      <w:lvlJc w:val="left"/>
      <w:pPr>
        <w:ind w:left="2880" w:hanging="360"/>
      </w:pPr>
    </w:lvl>
    <w:lvl w:ilvl="4" w:tplc="2F30A808">
      <w:start w:val="1"/>
      <w:numFmt w:val="lowerLetter"/>
      <w:lvlText w:val="%5."/>
      <w:lvlJc w:val="left"/>
      <w:pPr>
        <w:ind w:left="3600" w:hanging="360"/>
      </w:pPr>
    </w:lvl>
    <w:lvl w:ilvl="5" w:tplc="AE207F9E">
      <w:start w:val="1"/>
      <w:numFmt w:val="lowerRoman"/>
      <w:lvlText w:val="%6."/>
      <w:lvlJc w:val="right"/>
      <w:pPr>
        <w:ind w:left="4320" w:hanging="180"/>
      </w:pPr>
    </w:lvl>
    <w:lvl w:ilvl="6" w:tplc="5AA6EDAE">
      <w:start w:val="1"/>
      <w:numFmt w:val="decimal"/>
      <w:lvlText w:val="%7."/>
      <w:lvlJc w:val="left"/>
      <w:pPr>
        <w:ind w:left="5040" w:hanging="360"/>
      </w:pPr>
    </w:lvl>
    <w:lvl w:ilvl="7" w:tplc="DB6C5746">
      <w:start w:val="1"/>
      <w:numFmt w:val="lowerLetter"/>
      <w:lvlText w:val="%8."/>
      <w:lvlJc w:val="left"/>
      <w:pPr>
        <w:ind w:left="5760" w:hanging="360"/>
      </w:pPr>
    </w:lvl>
    <w:lvl w:ilvl="8" w:tplc="AF0AA3D2">
      <w:start w:val="1"/>
      <w:numFmt w:val="lowerRoman"/>
      <w:lvlText w:val="%9."/>
      <w:lvlJc w:val="right"/>
      <w:pPr>
        <w:ind w:left="6480" w:hanging="180"/>
      </w:pPr>
    </w:lvl>
  </w:abstractNum>
  <w:num w:numId="1" w16cid:durableId="1583641065">
    <w:abstractNumId w:val="0"/>
  </w:num>
  <w:num w:numId="2" w16cid:durableId="1610897285">
    <w:abstractNumId w:val="2"/>
  </w:num>
  <w:num w:numId="3" w16cid:durableId="759719480">
    <w:abstractNumId w:val="3"/>
  </w:num>
  <w:num w:numId="4" w16cid:durableId="180192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N7E0MTIwNTI0NjBQ0lEKTi0uzszPAykwrgUAnM2R0SwAAAA="/>
  </w:docVars>
  <w:rsids>
    <w:rsidRoot w:val="57C42188"/>
    <w:rsid w:val="0000546A"/>
    <w:rsid w:val="00017B5F"/>
    <w:rsid w:val="00023BBF"/>
    <w:rsid w:val="00046A47"/>
    <w:rsid w:val="000B5D3B"/>
    <w:rsid w:val="000F2ECC"/>
    <w:rsid w:val="00107E71"/>
    <w:rsid w:val="00153924"/>
    <w:rsid w:val="001A7A5A"/>
    <w:rsid w:val="001D3D84"/>
    <w:rsid w:val="001E7B28"/>
    <w:rsid w:val="0025500E"/>
    <w:rsid w:val="002738E4"/>
    <w:rsid w:val="002F0909"/>
    <w:rsid w:val="00327AFD"/>
    <w:rsid w:val="00395B82"/>
    <w:rsid w:val="003C47DC"/>
    <w:rsid w:val="00452B38"/>
    <w:rsid w:val="00594B63"/>
    <w:rsid w:val="005A64A1"/>
    <w:rsid w:val="005B0653"/>
    <w:rsid w:val="005B2AB1"/>
    <w:rsid w:val="005B4E77"/>
    <w:rsid w:val="005E725C"/>
    <w:rsid w:val="0061616F"/>
    <w:rsid w:val="006453C3"/>
    <w:rsid w:val="006853D3"/>
    <w:rsid w:val="00685A86"/>
    <w:rsid w:val="006C38B5"/>
    <w:rsid w:val="006C6D68"/>
    <w:rsid w:val="00754F9D"/>
    <w:rsid w:val="00767B92"/>
    <w:rsid w:val="00775206"/>
    <w:rsid w:val="00801038"/>
    <w:rsid w:val="00826372"/>
    <w:rsid w:val="00854918"/>
    <w:rsid w:val="008806A6"/>
    <w:rsid w:val="008D4CA6"/>
    <w:rsid w:val="008F2749"/>
    <w:rsid w:val="0093365C"/>
    <w:rsid w:val="009D05FA"/>
    <w:rsid w:val="00A35ADD"/>
    <w:rsid w:val="00A45D36"/>
    <w:rsid w:val="00A87B1B"/>
    <w:rsid w:val="00AA41A3"/>
    <w:rsid w:val="00AE4E38"/>
    <w:rsid w:val="00B029EF"/>
    <w:rsid w:val="00B163F2"/>
    <w:rsid w:val="00B252B1"/>
    <w:rsid w:val="00B60027"/>
    <w:rsid w:val="00B741C8"/>
    <w:rsid w:val="00BB2DBB"/>
    <w:rsid w:val="00BC4990"/>
    <w:rsid w:val="00C92D99"/>
    <w:rsid w:val="00C936E3"/>
    <w:rsid w:val="00D1740C"/>
    <w:rsid w:val="00D36ACC"/>
    <w:rsid w:val="00DB6DD5"/>
    <w:rsid w:val="00E06FFD"/>
    <w:rsid w:val="00E52C30"/>
    <w:rsid w:val="00E66059"/>
    <w:rsid w:val="00E91218"/>
    <w:rsid w:val="00E96C7D"/>
    <w:rsid w:val="00EB3F4F"/>
    <w:rsid w:val="00ED3C93"/>
    <w:rsid w:val="00F2322C"/>
    <w:rsid w:val="00F73D51"/>
    <w:rsid w:val="00F85E89"/>
    <w:rsid w:val="00F95C07"/>
    <w:rsid w:val="0975533B"/>
    <w:rsid w:val="09934188"/>
    <w:rsid w:val="09F026CA"/>
    <w:rsid w:val="0D374369"/>
    <w:rsid w:val="0F74E1B9"/>
    <w:rsid w:val="14459D80"/>
    <w:rsid w:val="14771439"/>
    <w:rsid w:val="1625C262"/>
    <w:rsid w:val="165C0442"/>
    <w:rsid w:val="17A40FEA"/>
    <w:rsid w:val="2025152C"/>
    <w:rsid w:val="22E77193"/>
    <w:rsid w:val="23127FBD"/>
    <w:rsid w:val="26B60ED1"/>
    <w:rsid w:val="2773A44D"/>
    <w:rsid w:val="2D468EBC"/>
    <w:rsid w:val="2D799EE8"/>
    <w:rsid w:val="2F30CEC8"/>
    <w:rsid w:val="3022D8E7"/>
    <w:rsid w:val="34BF93A0"/>
    <w:rsid w:val="35AB58E4"/>
    <w:rsid w:val="364115E8"/>
    <w:rsid w:val="3D0DE491"/>
    <w:rsid w:val="44AB1237"/>
    <w:rsid w:val="46618CEC"/>
    <w:rsid w:val="470DE93E"/>
    <w:rsid w:val="4735CAA6"/>
    <w:rsid w:val="477BC707"/>
    <w:rsid w:val="49BCF3F7"/>
    <w:rsid w:val="4ABDB0DA"/>
    <w:rsid w:val="4D187FAF"/>
    <w:rsid w:val="4EB1A022"/>
    <w:rsid w:val="503E892F"/>
    <w:rsid w:val="50840CF5"/>
    <w:rsid w:val="53EF0A1C"/>
    <w:rsid w:val="548FD553"/>
    <w:rsid w:val="55808D83"/>
    <w:rsid w:val="57C42188"/>
    <w:rsid w:val="5A6C10CC"/>
    <w:rsid w:val="5B83A5E9"/>
    <w:rsid w:val="5D3F4C82"/>
    <w:rsid w:val="63D983CB"/>
    <w:rsid w:val="68FCD06A"/>
    <w:rsid w:val="6AE36EA8"/>
    <w:rsid w:val="6D54B967"/>
    <w:rsid w:val="6F0084A7"/>
    <w:rsid w:val="70AD1305"/>
    <w:rsid w:val="7DE55246"/>
    <w:rsid w:val="7EBE9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2188"/>
  <w15:chartTrackingRefBased/>
  <w15:docId w15:val="{E5FB8630-A97C-40D9-8DC0-66947D3D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6618CEC"/>
    <w:pPr>
      <w:ind w:left="720"/>
      <w:contextualSpacing/>
    </w:pPr>
  </w:style>
  <w:style w:type="paragraph" w:styleId="Header">
    <w:name w:val="header"/>
    <w:basedOn w:val="Normal"/>
    <w:link w:val="HeaderChar"/>
    <w:uiPriority w:val="99"/>
    <w:unhideWhenUsed/>
    <w:rsid w:val="00F95C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5C07"/>
  </w:style>
  <w:style w:type="paragraph" w:styleId="Footer">
    <w:name w:val="footer"/>
    <w:basedOn w:val="Normal"/>
    <w:link w:val="FooterChar"/>
    <w:uiPriority w:val="99"/>
    <w:unhideWhenUsed/>
    <w:rsid w:val="00F95C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95C07"/>
  </w:style>
  <w:style w:type="character" w:styleId="Hyperlink">
    <w:name w:val="Hyperlink"/>
    <w:basedOn w:val="DefaultParagraphFont"/>
    <w:uiPriority w:val="99"/>
    <w:unhideWhenUsed/>
    <w:rsid w:val="00EB3F4F"/>
    <w:rPr>
      <w:color w:val="467886" w:themeColor="hyperlink"/>
      <w:u w:val="single"/>
    </w:rPr>
  </w:style>
  <w:style w:type="character" w:styleId="UnresolvedMention">
    <w:name w:val="Unresolved Mention"/>
    <w:basedOn w:val="DefaultParagraphFont"/>
    <w:uiPriority w:val="99"/>
    <w:semiHidden/>
    <w:unhideWhenUsed/>
    <w:rsid w:val="00EB3F4F"/>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4814">
      <w:bodyDiv w:val="1"/>
      <w:marLeft w:val="0"/>
      <w:marRight w:val="0"/>
      <w:marTop w:val="0"/>
      <w:marBottom w:val="0"/>
      <w:divBdr>
        <w:top w:val="none" w:sz="0" w:space="0" w:color="auto"/>
        <w:left w:val="none" w:sz="0" w:space="0" w:color="auto"/>
        <w:bottom w:val="none" w:sz="0" w:space="0" w:color="auto"/>
        <w:right w:val="none" w:sz="0" w:space="0" w:color="auto"/>
      </w:divBdr>
    </w:div>
    <w:div w:id="827676226">
      <w:bodyDiv w:val="1"/>
      <w:marLeft w:val="0"/>
      <w:marRight w:val="0"/>
      <w:marTop w:val="0"/>
      <w:marBottom w:val="0"/>
      <w:divBdr>
        <w:top w:val="none" w:sz="0" w:space="0" w:color="auto"/>
        <w:left w:val="none" w:sz="0" w:space="0" w:color="auto"/>
        <w:bottom w:val="none" w:sz="0" w:space="0" w:color="auto"/>
        <w:right w:val="none" w:sz="0" w:space="0" w:color="auto"/>
      </w:divBdr>
    </w:div>
    <w:div w:id="1345089557">
      <w:bodyDiv w:val="1"/>
      <w:marLeft w:val="0"/>
      <w:marRight w:val="0"/>
      <w:marTop w:val="0"/>
      <w:marBottom w:val="0"/>
      <w:divBdr>
        <w:top w:val="none" w:sz="0" w:space="0" w:color="auto"/>
        <w:left w:val="none" w:sz="0" w:space="0" w:color="auto"/>
        <w:bottom w:val="none" w:sz="0" w:space="0" w:color="auto"/>
        <w:right w:val="none" w:sz="0" w:space="0" w:color="auto"/>
      </w:divBdr>
    </w:div>
    <w:div w:id="1771395453">
      <w:bodyDiv w:val="1"/>
      <w:marLeft w:val="0"/>
      <w:marRight w:val="0"/>
      <w:marTop w:val="0"/>
      <w:marBottom w:val="0"/>
      <w:divBdr>
        <w:top w:val="none" w:sz="0" w:space="0" w:color="auto"/>
        <w:left w:val="none" w:sz="0" w:space="0" w:color="auto"/>
        <w:bottom w:val="none" w:sz="0" w:space="0" w:color="auto"/>
        <w:right w:val="none" w:sz="0" w:space="0" w:color="auto"/>
      </w:divBdr>
    </w:div>
    <w:div w:id="18329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O.Casasola@leeds.ac.uk" TargetMode="External" Id="rId9" /><Relationship Type="http://schemas.openxmlformats.org/officeDocument/2006/relationships/header" Target="header.xml" Id="Rd8e77e0a56964157" /></Relationships>
</file>

<file path=word/_rels/header.xml.rels>&#65279;<?xml version="1.0" encoding="utf-8"?><Relationships xmlns="http://schemas.openxmlformats.org/package/2006/relationships"><Relationship Type="http://schemas.openxmlformats.org/officeDocument/2006/relationships/image" Target="/media/image2.png" Id="R089a6965cf8e47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6450A-3B8B-4569-8E0A-F77803CE45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Oriana Casasola</dc:creator>
  <keywords/>
  <dc:description/>
  <lastModifiedBy>Loren Sandoval Arteaga</lastModifiedBy>
  <revision>3</revision>
  <lastPrinted>2025-05-07T08:02:00.0000000Z</lastPrinted>
  <dcterms:created xsi:type="dcterms:W3CDTF">2025-05-22T12:32:00.0000000Z</dcterms:created>
  <dcterms:modified xsi:type="dcterms:W3CDTF">2025-05-28T09:01:42.4100407Z</dcterms:modified>
</coreProperties>
</file>